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1995" w14:textId="4571BD58" w:rsidR="008C42FC" w:rsidRPr="00625FCD" w:rsidRDefault="005F7019" w:rsidP="004D2FB3">
      <w:pPr>
        <w:spacing w:before="240"/>
        <w:rPr>
          <w:rFonts w:ascii="Arial" w:hAnsi="Arial" w:cs="Arial"/>
          <w:b/>
        </w:rPr>
      </w:pPr>
      <w:r w:rsidRPr="00625FCD">
        <w:rPr>
          <w:rFonts w:ascii="Arial" w:hAnsi="Arial" w:cs="Arial"/>
          <w:b/>
          <w:noProof/>
          <w:lang w:eastAsia="en-GB"/>
        </w:rPr>
        <w:drawing>
          <wp:anchor distT="0" distB="0" distL="114300" distR="114300" simplePos="0" relativeHeight="251657216" behindDoc="1" locked="0" layoutInCell="1" allowOverlap="1" wp14:anchorId="37A586FE" wp14:editId="3779C1F2">
            <wp:simplePos x="0" y="0"/>
            <wp:positionH relativeFrom="margin">
              <wp:align>center</wp:align>
            </wp:positionH>
            <wp:positionV relativeFrom="paragraph">
              <wp:posOffset>3928745</wp:posOffset>
            </wp:positionV>
            <wp:extent cx="2143760" cy="1879600"/>
            <wp:effectExtent l="0" t="0" r="8890" b="6350"/>
            <wp:wrapTight wrapText="bothSides">
              <wp:wrapPolygon edited="0">
                <wp:start x="0" y="0"/>
                <wp:lineTo x="0" y="21454"/>
                <wp:lineTo x="21498" y="21454"/>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760" cy="1879600"/>
                    </a:xfrm>
                    <a:prstGeom prst="rect">
                      <a:avLst/>
                    </a:prstGeom>
                  </pic:spPr>
                </pic:pic>
              </a:graphicData>
            </a:graphic>
            <wp14:sizeRelH relativeFrom="margin">
              <wp14:pctWidth>0</wp14:pctWidth>
            </wp14:sizeRelH>
            <wp14:sizeRelV relativeFrom="margin">
              <wp14:pctHeight>0</wp14:pctHeight>
            </wp14:sizeRelV>
          </wp:anchor>
        </w:drawing>
      </w:r>
      <w:r w:rsidRPr="00625FCD">
        <w:rPr>
          <w:rFonts w:ascii="Arial" w:hAnsi="Arial" w:cs="Arial"/>
          <w:b/>
          <w:noProof/>
          <w:lang w:eastAsia="en-GB"/>
        </w:rPr>
        <w:drawing>
          <wp:anchor distT="0" distB="0" distL="114300" distR="114300" simplePos="0" relativeHeight="251662336" behindDoc="1" locked="0" layoutInCell="1" allowOverlap="1" wp14:anchorId="6E1E4D7B" wp14:editId="20860971">
            <wp:simplePos x="0" y="0"/>
            <wp:positionH relativeFrom="margin">
              <wp:posOffset>-410210</wp:posOffset>
            </wp:positionH>
            <wp:positionV relativeFrom="paragraph">
              <wp:posOffset>0</wp:posOffset>
            </wp:positionV>
            <wp:extent cx="6718935" cy="3767455"/>
            <wp:effectExtent l="0" t="0" r="5715" b="4445"/>
            <wp:wrapTight wrapText="bothSides">
              <wp:wrapPolygon edited="0">
                <wp:start x="0" y="0"/>
                <wp:lineTo x="0" y="21516"/>
                <wp:lineTo x="21557" y="21516"/>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718935" cy="3767455"/>
                    </a:xfrm>
                    <a:prstGeom prst="rect">
                      <a:avLst/>
                    </a:prstGeom>
                  </pic:spPr>
                </pic:pic>
              </a:graphicData>
            </a:graphic>
            <wp14:sizeRelH relativeFrom="margin">
              <wp14:pctWidth>0</wp14:pctWidth>
            </wp14:sizeRelH>
            <wp14:sizeRelV relativeFrom="margin">
              <wp14:pctHeight>0</wp14:pctHeight>
            </wp14:sizeRelV>
          </wp:anchor>
        </w:drawing>
      </w:r>
    </w:p>
    <w:p w14:paraId="471091A1" w14:textId="6CD3BBC2" w:rsidR="008C42FC" w:rsidRPr="00625FCD" w:rsidRDefault="00C87B02" w:rsidP="004D2FB3">
      <w:pPr>
        <w:spacing w:before="240"/>
        <w:rPr>
          <w:rFonts w:ascii="Arial" w:hAnsi="Arial" w:cs="Arial"/>
          <w:b/>
        </w:rPr>
      </w:pPr>
      <w:r w:rsidRPr="00625FCD">
        <w:rPr>
          <w:rFonts w:ascii="Arial" w:hAnsi="Arial" w:cs="Arial"/>
          <w:b/>
        </w:rPr>
        <w:t xml:space="preserve"> </w:t>
      </w:r>
    </w:p>
    <w:p w14:paraId="6A0CA91F" w14:textId="77777777" w:rsidR="00367E3C" w:rsidRDefault="00367E3C" w:rsidP="00367E3C">
      <w:pPr>
        <w:pStyle w:val="Default"/>
        <w:spacing w:before="240"/>
        <w:jc w:val="center"/>
        <w:rPr>
          <w:rFonts w:ascii="Arial" w:hAnsi="Arial" w:cs="Arial"/>
          <w:b/>
          <w:bCs/>
          <w:color w:val="auto"/>
          <w:sz w:val="48"/>
          <w:szCs w:val="28"/>
        </w:rPr>
      </w:pPr>
      <w:r w:rsidRPr="00367E3C">
        <w:rPr>
          <w:rFonts w:ascii="Arial" w:hAnsi="Arial" w:cs="Arial"/>
          <w:b/>
          <w:bCs/>
          <w:color w:val="auto"/>
          <w:sz w:val="80"/>
          <w:szCs w:val="80"/>
        </w:rPr>
        <w:t>CONFIDENTIALITY POLICY</w:t>
      </w:r>
      <w:r>
        <w:rPr>
          <w:rFonts w:ascii="Arial" w:hAnsi="Arial" w:cs="Arial"/>
          <w:b/>
          <w:bCs/>
          <w:color w:val="auto"/>
        </w:rPr>
        <w:t xml:space="preserve"> </w:t>
      </w:r>
    </w:p>
    <w:p w14:paraId="34EDAB62" w14:textId="703D34EA" w:rsidR="00B80C50" w:rsidRPr="00625FCD" w:rsidRDefault="00B80C50" w:rsidP="00367E3C">
      <w:pPr>
        <w:pStyle w:val="Default"/>
        <w:spacing w:before="240"/>
        <w:jc w:val="center"/>
        <w:rPr>
          <w:rFonts w:ascii="Arial" w:hAnsi="Arial" w:cs="Arial"/>
          <w:b/>
          <w:bCs/>
          <w:color w:val="auto"/>
          <w:sz w:val="48"/>
          <w:szCs w:val="28"/>
        </w:rPr>
        <w:sectPr w:rsidR="00B80C50" w:rsidRPr="00625FCD">
          <w:headerReference w:type="default" r:id="rId14"/>
          <w:footerReference w:type="default" r:id="rId15"/>
          <w:pgSz w:w="11906" w:h="16838"/>
          <w:pgMar w:top="1440" w:right="1440" w:bottom="1440" w:left="1440" w:header="708" w:footer="708" w:gutter="0"/>
          <w:cols w:space="708"/>
          <w:docGrid w:linePitch="360"/>
        </w:sectPr>
      </w:pPr>
      <w:r w:rsidRPr="00E30BAD">
        <w:rPr>
          <w:rFonts w:ascii="Arial" w:hAnsi="Arial" w:cs="Arial"/>
          <w:b/>
          <w:bCs/>
          <w:color w:val="auto"/>
          <w:sz w:val="48"/>
          <w:szCs w:val="28"/>
        </w:rPr>
        <w:t xml:space="preserve">Updated </w:t>
      </w:r>
      <w:r w:rsidR="002D75FE">
        <w:rPr>
          <w:rFonts w:ascii="Arial" w:hAnsi="Arial" w:cs="Arial"/>
          <w:b/>
          <w:bCs/>
          <w:color w:val="auto"/>
          <w:sz w:val="48"/>
          <w:szCs w:val="28"/>
        </w:rPr>
        <w:t>Nov 21</w:t>
      </w:r>
    </w:p>
    <w:p w14:paraId="3F0EAF9B" w14:textId="49F2CB98" w:rsidR="00280D89" w:rsidRDefault="00280D89" w:rsidP="004D2FB3">
      <w:pPr>
        <w:pStyle w:val="Heading1"/>
        <w:rPr>
          <w:b/>
        </w:rPr>
      </w:pPr>
      <w:bookmarkStart w:id="0" w:name="_Toc20328107"/>
      <w:r>
        <w:rPr>
          <w:b/>
        </w:rPr>
        <w:lastRenderedPageBreak/>
        <w:t xml:space="preserve">CONFIDENTIALITY </w:t>
      </w:r>
      <w:r w:rsidRPr="00312D1A">
        <w:rPr>
          <w:b/>
        </w:rPr>
        <w:t>POLICY</w:t>
      </w:r>
      <w:bookmarkEnd w:id="0"/>
      <w:r w:rsidRPr="00312D1A">
        <w:rPr>
          <w:b/>
        </w:rPr>
        <w:t xml:space="preserve"> </w:t>
      </w:r>
    </w:p>
    <w:p w14:paraId="3173A0C8" w14:textId="2E752195" w:rsidR="00280D89" w:rsidRDefault="00280D89" w:rsidP="004D2FB3"/>
    <w:p w14:paraId="3EB3E387" w14:textId="77777777" w:rsidR="005E11FA" w:rsidRDefault="005E11FA" w:rsidP="005E11FA">
      <w:pPr>
        <w:rPr>
          <w:rFonts w:ascii="Arial" w:hAnsi="Arial" w:cs="Arial"/>
          <w:b/>
          <w:bCs/>
        </w:rPr>
      </w:pPr>
      <w:r w:rsidRPr="00B27C1E">
        <w:rPr>
          <w:rFonts w:ascii="Arial" w:hAnsi="Arial" w:cs="Arial"/>
          <w:b/>
          <w:bCs/>
        </w:rPr>
        <w:t>POLICY CONTROL</w:t>
      </w:r>
      <w:r>
        <w:rPr>
          <w:rFonts w:ascii="Arial" w:hAnsi="Arial" w:cs="Arial"/>
          <w:b/>
          <w:bCs/>
        </w:rPr>
        <w:t xml:space="preserve"> </w:t>
      </w:r>
    </w:p>
    <w:p w14:paraId="162C9986" w14:textId="77777777" w:rsidR="005E11FA" w:rsidRPr="00B27C1E" w:rsidRDefault="005E11FA" w:rsidP="005E11FA">
      <w:pPr>
        <w:rPr>
          <w:rFonts w:ascii="Arial" w:hAnsi="Arial" w:cs="Arial"/>
          <w:b/>
        </w:rPr>
      </w:pPr>
    </w:p>
    <w:tbl>
      <w:tblPr>
        <w:tblStyle w:val="TableGrid"/>
        <w:tblW w:w="8481" w:type="dxa"/>
        <w:tblInd w:w="6" w:type="dxa"/>
        <w:tblCellMar>
          <w:top w:w="11" w:type="dxa"/>
          <w:left w:w="107" w:type="dxa"/>
          <w:right w:w="115" w:type="dxa"/>
        </w:tblCellMar>
        <w:tblLook w:val="04A0" w:firstRow="1" w:lastRow="0" w:firstColumn="1" w:lastColumn="0" w:noHBand="0" w:noVBand="1"/>
      </w:tblPr>
      <w:tblGrid>
        <w:gridCol w:w="1588"/>
        <w:gridCol w:w="4508"/>
        <w:gridCol w:w="2385"/>
      </w:tblGrid>
      <w:tr w:rsidR="005E11FA" w14:paraId="7A938D5C" w14:textId="77777777" w:rsidTr="00D9372B">
        <w:trPr>
          <w:trHeight w:val="576"/>
        </w:trPr>
        <w:tc>
          <w:tcPr>
            <w:tcW w:w="158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80A573C" w14:textId="77777777" w:rsidR="005E11FA" w:rsidRPr="005323E8" w:rsidRDefault="005E11FA" w:rsidP="00D9372B">
            <w:pPr>
              <w:spacing w:line="259" w:lineRule="auto"/>
              <w:rPr>
                <w:rFonts w:ascii="Arial" w:hAnsi="Arial" w:cs="Arial"/>
              </w:rPr>
            </w:pPr>
            <w:r w:rsidRPr="005323E8">
              <w:rPr>
                <w:rFonts w:ascii="Arial" w:eastAsia="Arial" w:hAnsi="Arial" w:cs="Arial"/>
                <w:b/>
              </w:rPr>
              <w:t xml:space="preserve">Version </w:t>
            </w:r>
          </w:p>
        </w:tc>
        <w:tc>
          <w:tcPr>
            <w:tcW w:w="450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FC1836B" w14:textId="77777777" w:rsidR="005E11FA" w:rsidRPr="005323E8" w:rsidRDefault="005E11FA" w:rsidP="00D9372B">
            <w:pPr>
              <w:spacing w:line="259" w:lineRule="auto"/>
              <w:ind w:left="1"/>
              <w:rPr>
                <w:rFonts w:ascii="Arial" w:hAnsi="Arial" w:cs="Arial"/>
              </w:rPr>
            </w:pPr>
            <w:r w:rsidRPr="005323E8">
              <w:rPr>
                <w:rFonts w:ascii="Arial" w:eastAsia="Arial" w:hAnsi="Arial" w:cs="Arial"/>
                <w:b/>
              </w:rPr>
              <w:t xml:space="preserve">Description </w:t>
            </w:r>
          </w:p>
        </w:tc>
        <w:tc>
          <w:tcPr>
            <w:tcW w:w="238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DDB8BEB" w14:textId="77777777" w:rsidR="005E11FA" w:rsidRPr="005323E8" w:rsidRDefault="005E11FA" w:rsidP="00D9372B">
            <w:pPr>
              <w:spacing w:line="259" w:lineRule="auto"/>
              <w:ind w:left="1"/>
              <w:rPr>
                <w:rFonts w:ascii="Arial" w:hAnsi="Arial" w:cs="Arial"/>
              </w:rPr>
            </w:pPr>
            <w:r w:rsidRPr="005323E8">
              <w:rPr>
                <w:rFonts w:ascii="Arial" w:eastAsia="Arial" w:hAnsi="Arial" w:cs="Arial"/>
                <w:b/>
              </w:rPr>
              <w:t xml:space="preserve">Date </w:t>
            </w:r>
          </w:p>
        </w:tc>
      </w:tr>
      <w:tr w:rsidR="005E11FA" w14:paraId="47B2CCC3" w14:textId="77777777" w:rsidTr="00D9372B">
        <w:trPr>
          <w:trHeight w:val="263"/>
        </w:trPr>
        <w:tc>
          <w:tcPr>
            <w:tcW w:w="1588" w:type="dxa"/>
            <w:tcBorders>
              <w:top w:val="single" w:sz="4" w:space="0" w:color="000000"/>
              <w:left w:val="single" w:sz="4" w:space="0" w:color="000000"/>
              <w:bottom w:val="single" w:sz="4" w:space="0" w:color="000000"/>
              <w:right w:val="single" w:sz="4" w:space="0" w:color="000000"/>
            </w:tcBorders>
          </w:tcPr>
          <w:p w14:paraId="09A2FE35" w14:textId="77777777" w:rsidR="005E11FA" w:rsidRPr="005323E8" w:rsidRDefault="005E11FA" w:rsidP="00D9372B">
            <w:pPr>
              <w:spacing w:line="259" w:lineRule="auto"/>
              <w:rPr>
                <w:rFonts w:ascii="Arial" w:hAnsi="Arial" w:cs="Arial"/>
              </w:rPr>
            </w:pPr>
            <w:r w:rsidRPr="005323E8">
              <w:rPr>
                <w:rFonts w:ascii="Arial" w:hAnsi="Arial" w:cs="Arial"/>
              </w:rPr>
              <w:t xml:space="preserve">1.0 </w:t>
            </w:r>
          </w:p>
        </w:tc>
        <w:tc>
          <w:tcPr>
            <w:tcW w:w="4508" w:type="dxa"/>
            <w:tcBorders>
              <w:top w:val="single" w:sz="4" w:space="0" w:color="000000"/>
              <w:left w:val="single" w:sz="4" w:space="0" w:color="000000"/>
              <w:bottom w:val="single" w:sz="4" w:space="0" w:color="000000"/>
              <w:right w:val="single" w:sz="4" w:space="0" w:color="000000"/>
            </w:tcBorders>
          </w:tcPr>
          <w:p w14:paraId="4CFEED6D" w14:textId="1C11B025" w:rsidR="005E11FA" w:rsidRPr="005323E8" w:rsidRDefault="005E11FA" w:rsidP="00D9372B">
            <w:pPr>
              <w:spacing w:line="259" w:lineRule="auto"/>
              <w:ind w:left="1"/>
              <w:rPr>
                <w:rFonts w:ascii="Arial" w:hAnsi="Arial" w:cs="Arial"/>
              </w:rPr>
            </w:pPr>
            <w:r>
              <w:rPr>
                <w:rFonts w:ascii="Arial" w:hAnsi="Arial" w:cs="Arial"/>
              </w:rPr>
              <w:t xml:space="preserve">Confidentiality </w:t>
            </w:r>
            <w:r w:rsidRPr="005323E8">
              <w:rPr>
                <w:rFonts w:ascii="Arial" w:hAnsi="Arial" w:cs="Arial"/>
              </w:rPr>
              <w:t xml:space="preserve">Policy </w:t>
            </w:r>
          </w:p>
        </w:tc>
        <w:tc>
          <w:tcPr>
            <w:tcW w:w="2385" w:type="dxa"/>
            <w:tcBorders>
              <w:top w:val="single" w:sz="4" w:space="0" w:color="000000"/>
              <w:left w:val="single" w:sz="4" w:space="0" w:color="000000"/>
              <w:bottom w:val="single" w:sz="4" w:space="0" w:color="000000"/>
              <w:right w:val="single" w:sz="4" w:space="0" w:color="000000"/>
            </w:tcBorders>
          </w:tcPr>
          <w:p w14:paraId="6AE754F3" w14:textId="361B14B9" w:rsidR="005E11FA" w:rsidRPr="002D75FE" w:rsidRDefault="002D75FE" w:rsidP="00D9372B">
            <w:pPr>
              <w:spacing w:line="259" w:lineRule="auto"/>
              <w:ind w:left="1"/>
              <w:rPr>
                <w:rFonts w:ascii="Arial" w:hAnsi="Arial" w:cs="Arial"/>
              </w:rPr>
            </w:pPr>
            <w:r w:rsidRPr="002D75FE">
              <w:rPr>
                <w:rFonts w:ascii="Arial" w:hAnsi="Arial" w:cs="Arial"/>
              </w:rPr>
              <w:t>Nov 21</w:t>
            </w:r>
          </w:p>
        </w:tc>
      </w:tr>
      <w:tr w:rsidR="005E11FA" w14:paraId="7C7E6AA5" w14:textId="77777777" w:rsidTr="00D9372B">
        <w:trPr>
          <w:trHeight w:val="264"/>
        </w:trPr>
        <w:tc>
          <w:tcPr>
            <w:tcW w:w="6096" w:type="dxa"/>
            <w:gridSpan w:val="2"/>
            <w:tcBorders>
              <w:top w:val="single" w:sz="4" w:space="0" w:color="000000"/>
              <w:left w:val="single" w:sz="4" w:space="0" w:color="000000"/>
              <w:bottom w:val="single" w:sz="4" w:space="0" w:color="000000"/>
              <w:right w:val="single" w:sz="4" w:space="0" w:color="000000"/>
            </w:tcBorders>
          </w:tcPr>
          <w:p w14:paraId="316630A1" w14:textId="77777777" w:rsidR="005E11FA" w:rsidRPr="005323E8" w:rsidRDefault="005E11FA" w:rsidP="00D9372B">
            <w:pPr>
              <w:spacing w:line="259" w:lineRule="auto"/>
              <w:rPr>
                <w:rFonts w:ascii="Arial" w:hAnsi="Arial" w:cs="Arial"/>
              </w:rPr>
            </w:pPr>
            <w:r w:rsidRPr="005323E8">
              <w:rPr>
                <w:rFonts w:ascii="Arial" w:hAnsi="Arial" w:cs="Arial"/>
              </w:rPr>
              <w:t xml:space="preserve">Board Approved  </w:t>
            </w:r>
          </w:p>
        </w:tc>
        <w:tc>
          <w:tcPr>
            <w:tcW w:w="2385" w:type="dxa"/>
            <w:tcBorders>
              <w:top w:val="single" w:sz="4" w:space="0" w:color="000000"/>
              <w:left w:val="single" w:sz="4" w:space="0" w:color="000000"/>
              <w:bottom w:val="single" w:sz="4" w:space="0" w:color="000000"/>
              <w:right w:val="single" w:sz="4" w:space="0" w:color="000000"/>
            </w:tcBorders>
          </w:tcPr>
          <w:p w14:paraId="38645785" w14:textId="5AE02155" w:rsidR="005E11FA" w:rsidRPr="002D75FE" w:rsidRDefault="002D75FE" w:rsidP="00D9372B">
            <w:pPr>
              <w:spacing w:line="259" w:lineRule="auto"/>
              <w:ind w:left="1"/>
              <w:rPr>
                <w:rFonts w:ascii="Arial" w:hAnsi="Arial" w:cs="Arial"/>
              </w:rPr>
            </w:pPr>
            <w:r w:rsidRPr="002D75FE">
              <w:rPr>
                <w:rFonts w:ascii="Arial" w:hAnsi="Arial" w:cs="Arial"/>
              </w:rPr>
              <w:t>22 Nov 2</w:t>
            </w:r>
            <w:r>
              <w:rPr>
                <w:rFonts w:ascii="Arial" w:hAnsi="Arial" w:cs="Arial"/>
              </w:rPr>
              <w:t>1</w:t>
            </w:r>
          </w:p>
        </w:tc>
      </w:tr>
      <w:tr w:rsidR="005E11FA" w14:paraId="65E97F66" w14:textId="77777777" w:rsidTr="00D9372B">
        <w:trPr>
          <w:trHeight w:val="262"/>
        </w:trPr>
        <w:tc>
          <w:tcPr>
            <w:tcW w:w="6096" w:type="dxa"/>
            <w:gridSpan w:val="2"/>
            <w:tcBorders>
              <w:top w:val="single" w:sz="4" w:space="0" w:color="000000"/>
              <w:left w:val="single" w:sz="4" w:space="0" w:color="000000"/>
              <w:bottom w:val="single" w:sz="4" w:space="0" w:color="000000"/>
              <w:right w:val="single" w:sz="4" w:space="0" w:color="000000"/>
            </w:tcBorders>
          </w:tcPr>
          <w:p w14:paraId="18CE3A46" w14:textId="77777777" w:rsidR="005E11FA" w:rsidRPr="005323E8" w:rsidRDefault="005E11FA" w:rsidP="00D9372B">
            <w:pPr>
              <w:spacing w:line="259" w:lineRule="auto"/>
              <w:rPr>
                <w:rFonts w:ascii="Arial" w:hAnsi="Arial" w:cs="Arial"/>
              </w:rPr>
            </w:pPr>
            <w:r w:rsidRPr="005323E8">
              <w:rPr>
                <w:rFonts w:ascii="Arial" w:hAnsi="Arial" w:cs="Arial"/>
              </w:rPr>
              <w:t xml:space="preserve">For Review:  </w:t>
            </w:r>
          </w:p>
        </w:tc>
        <w:tc>
          <w:tcPr>
            <w:tcW w:w="2385" w:type="dxa"/>
            <w:tcBorders>
              <w:top w:val="single" w:sz="4" w:space="0" w:color="000000"/>
              <w:left w:val="single" w:sz="4" w:space="0" w:color="000000"/>
              <w:bottom w:val="single" w:sz="4" w:space="0" w:color="000000"/>
              <w:right w:val="single" w:sz="4" w:space="0" w:color="000000"/>
            </w:tcBorders>
          </w:tcPr>
          <w:p w14:paraId="3A9E4C7F" w14:textId="1F076965" w:rsidR="005E11FA" w:rsidRPr="005323E8" w:rsidRDefault="002D75FE" w:rsidP="00D9372B">
            <w:pPr>
              <w:spacing w:line="259" w:lineRule="auto"/>
              <w:ind w:left="1"/>
              <w:rPr>
                <w:rFonts w:ascii="Arial" w:hAnsi="Arial" w:cs="Arial"/>
              </w:rPr>
            </w:pPr>
            <w:r>
              <w:rPr>
                <w:rFonts w:ascii="Arial" w:hAnsi="Arial" w:cs="Arial"/>
              </w:rPr>
              <w:t>22 Nov 22</w:t>
            </w:r>
          </w:p>
        </w:tc>
      </w:tr>
      <w:tr w:rsidR="005E11FA" w14:paraId="09DFF557" w14:textId="77777777" w:rsidTr="00D9372B">
        <w:trPr>
          <w:trHeight w:val="264"/>
        </w:trPr>
        <w:tc>
          <w:tcPr>
            <w:tcW w:w="6096" w:type="dxa"/>
            <w:gridSpan w:val="2"/>
            <w:tcBorders>
              <w:top w:val="single" w:sz="4" w:space="0" w:color="000000"/>
              <w:left w:val="single" w:sz="4" w:space="0" w:color="000000"/>
              <w:bottom w:val="single" w:sz="4" w:space="0" w:color="000000"/>
              <w:right w:val="single" w:sz="4" w:space="0" w:color="000000"/>
            </w:tcBorders>
          </w:tcPr>
          <w:p w14:paraId="49C94F09" w14:textId="77777777" w:rsidR="005E11FA" w:rsidRPr="005323E8" w:rsidRDefault="005E11FA" w:rsidP="00D9372B">
            <w:pPr>
              <w:spacing w:line="259" w:lineRule="auto"/>
              <w:rPr>
                <w:rFonts w:ascii="Arial" w:hAnsi="Arial" w:cs="Arial"/>
              </w:rPr>
            </w:pPr>
            <w:r>
              <w:rPr>
                <w:rFonts w:ascii="Arial" w:hAnsi="Arial" w:cs="Arial"/>
              </w:rPr>
              <w:t xml:space="preserve">Chair </w:t>
            </w:r>
            <w:r w:rsidRPr="005323E8">
              <w:rPr>
                <w:rFonts w:ascii="Arial" w:hAnsi="Arial" w:cs="Arial"/>
              </w:rPr>
              <w:t xml:space="preserve">(21/22) </w:t>
            </w:r>
          </w:p>
        </w:tc>
        <w:tc>
          <w:tcPr>
            <w:tcW w:w="2385" w:type="dxa"/>
            <w:tcBorders>
              <w:top w:val="single" w:sz="4" w:space="0" w:color="000000"/>
              <w:left w:val="single" w:sz="4" w:space="0" w:color="000000"/>
              <w:bottom w:val="single" w:sz="4" w:space="0" w:color="000000"/>
              <w:right w:val="single" w:sz="4" w:space="0" w:color="000000"/>
            </w:tcBorders>
          </w:tcPr>
          <w:p w14:paraId="4AE9E416" w14:textId="77777777" w:rsidR="005E11FA" w:rsidRPr="005323E8" w:rsidRDefault="005E11FA" w:rsidP="00D9372B">
            <w:pPr>
              <w:spacing w:line="259" w:lineRule="auto"/>
              <w:ind w:left="1"/>
              <w:rPr>
                <w:rFonts w:ascii="Arial" w:hAnsi="Arial" w:cs="Arial"/>
              </w:rPr>
            </w:pPr>
            <w:r>
              <w:rPr>
                <w:rFonts w:ascii="Arial" w:hAnsi="Arial" w:cs="Arial"/>
              </w:rPr>
              <w:t xml:space="preserve">Clare Anderson </w:t>
            </w:r>
          </w:p>
        </w:tc>
      </w:tr>
    </w:tbl>
    <w:p w14:paraId="5E961516" w14:textId="77777777" w:rsidR="005E11FA" w:rsidRDefault="005E11FA" w:rsidP="004D2FB3"/>
    <w:p w14:paraId="2FD6F908" w14:textId="3123D1BF" w:rsidR="00280D89" w:rsidRDefault="00280D89" w:rsidP="004D2FB3">
      <w:pPr>
        <w:rPr>
          <w:rFonts w:ascii="Arial" w:hAnsi="Arial"/>
        </w:rPr>
      </w:pPr>
      <w:r w:rsidRPr="00280D89">
        <w:rPr>
          <w:rFonts w:ascii="Arial" w:hAnsi="Arial"/>
        </w:rPr>
        <w:t xml:space="preserve">Newquay Foodbank recognises that employees and volunteers use information about service users as part of their work. In most cases information will not be stated as confidential but volunteers and employees must use common sense when deciding what is confidential. This policy aims to give guidance but if in doubt please seek the advice of the </w:t>
      </w:r>
      <w:r w:rsidR="0033767C">
        <w:rPr>
          <w:rFonts w:ascii="Arial" w:hAnsi="Arial"/>
        </w:rPr>
        <w:t xml:space="preserve">Foodbank Committee. </w:t>
      </w:r>
    </w:p>
    <w:p w14:paraId="0C34AAD3" w14:textId="77777777" w:rsidR="0033767C" w:rsidRPr="00280D89" w:rsidRDefault="0033767C" w:rsidP="004D2FB3">
      <w:pPr>
        <w:rPr>
          <w:rFonts w:ascii="Arial" w:hAnsi="Arial"/>
        </w:rPr>
      </w:pPr>
    </w:p>
    <w:p w14:paraId="651C6FC0" w14:textId="63CCB3A7" w:rsidR="00280D89" w:rsidRDefault="0033767C" w:rsidP="0033767C">
      <w:pPr>
        <w:widowControl w:val="0"/>
        <w:suppressAutoHyphens/>
        <w:spacing w:line="100" w:lineRule="atLeast"/>
        <w:textAlignment w:val="baseline"/>
        <w:rPr>
          <w:rFonts w:ascii="Arial" w:hAnsi="Arial"/>
        </w:rPr>
      </w:pPr>
      <w:r>
        <w:rPr>
          <w:rFonts w:ascii="Arial" w:hAnsi="Arial"/>
        </w:rPr>
        <w:t xml:space="preserve">Volunteers </w:t>
      </w:r>
      <w:r w:rsidR="00280D89" w:rsidRPr="00280D89">
        <w:rPr>
          <w:rFonts w:ascii="Arial" w:hAnsi="Arial"/>
        </w:rPr>
        <w:t xml:space="preserve">may share information with </w:t>
      </w:r>
      <w:r>
        <w:rPr>
          <w:rFonts w:ascii="Arial" w:hAnsi="Arial"/>
        </w:rPr>
        <w:t xml:space="preserve">members of the Committee </w:t>
      </w:r>
      <w:r w:rsidR="00280D89" w:rsidRPr="00280D89">
        <w:rPr>
          <w:rFonts w:ascii="Arial" w:hAnsi="Arial"/>
        </w:rPr>
        <w:t>to discuss issues or seek advice</w:t>
      </w:r>
    </w:p>
    <w:p w14:paraId="3F1503AE" w14:textId="77777777" w:rsidR="0033767C" w:rsidRPr="00280D89" w:rsidRDefault="0033767C" w:rsidP="0033767C">
      <w:pPr>
        <w:widowControl w:val="0"/>
        <w:suppressAutoHyphens/>
        <w:spacing w:line="100" w:lineRule="atLeast"/>
        <w:textAlignment w:val="baseline"/>
        <w:rPr>
          <w:rFonts w:ascii="Arial" w:hAnsi="Arial"/>
        </w:rPr>
      </w:pPr>
    </w:p>
    <w:p w14:paraId="0EF81120" w14:textId="2CE4F71D" w:rsidR="00280D89" w:rsidRPr="00280D89" w:rsidRDefault="00280D89" w:rsidP="0033767C">
      <w:pPr>
        <w:widowControl w:val="0"/>
        <w:suppressAutoHyphens/>
        <w:spacing w:line="100" w:lineRule="atLeast"/>
        <w:textAlignment w:val="baseline"/>
        <w:rPr>
          <w:rFonts w:ascii="Arial" w:hAnsi="Arial"/>
        </w:rPr>
      </w:pPr>
      <w:r w:rsidRPr="00280D89">
        <w:rPr>
          <w:rFonts w:ascii="Arial" w:hAnsi="Arial"/>
        </w:rPr>
        <w:t xml:space="preserve">A service user will not be discussed outside the </w:t>
      </w:r>
      <w:r w:rsidR="0033767C">
        <w:rPr>
          <w:rFonts w:ascii="Arial" w:hAnsi="Arial"/>
        </w:rPr>
        <w:t>Charity.</w:t>
      </w:r>
    </w:p>
    <w:p w14:paraId="5DB5B7DD" w14:textId="26183ED2" w:rsidR="00280D89" w:rsidRDefault="00280D89" w:rsidP="004D2FB3">
      <w:pPr>
        <w:rPr>
          <w:rFonts w:ascii="Arial" w:hAnsi="Arial"/>
        </w:rPr>
      </w:pPr>
    </w:p>
    <w:p w14:paraId="1BCDA234" w14:textId="62692D25" w:rsidR="00280D89" w:rsidRPr="00625FCD" w:rsidRDefault="00280D89" w:rsidP="004D2FB3">
      <w:pPr>
        <w:pStyle w:val="ListParagraph"/>
        <w:numPr>
          <w:ilvl w:val="0"/>
          <w:numId w:val="13"/>
        </w:numPr>
        <w:autoSpaceDE w:val="0"/>
        <w:autoSpaceDN w:val="0"/>
        <w:adjustRightInd w:val="0"/>
        <w:spacing w:after="240"/>
        <w:ind w:left="357" w:hanging="357"/>
        <w:contextualSpacing w:val="0"/>
        <w:rPr>
          <w:rFonts w:ascii="Arial" w:hAnsi="Arial" w:cs="Arial"/>
        </w:rPr>
      </w:pPr>
      <w:r>
        <w:rPr>
          <w:rFonts w:ascii="Arial" w:hAnsi="Arial" w:cs="Arial"/>
          <w:b/>
          <w:bCs/>
        </w:rPr>
        <w:t xml:space="preserve">STORAGE OF INFORMATION </w:t>
      </w:r>
    </w:p>
    <w:p w14:paraId="03526964" w14:textId="7BFE3ED2" w:rsidR="00280D89" w:rsidRPr="00280D89" w:rsidRDefault="00280D89" w:rsidP="004D2FB3">
      <w:pPr>
        <w:pStyle w:val="ListParagraph"/>
        <w:numPr>
          <w:ilvl w:val="1"/>
          <w:numId w:val="13"/>
        </w:numPr>
        <w:autoSpaceDE w:val="0"/>
        <w:autoSpaceDN w:val="0"/>
        <w:adjustRightInd w:val="0"/>
        <w:spacing w:after="240"/>
        <w:contextualSpacing w:val="0"/>
        <w:rPr>
          <w:rFonts w:ascii="Arial" w:hAnsi="Arial"/>
        </w:rPr>
      </w:pPr>
      <w:r>
        <w:rPr>
          <w:rFonts w:ascii="Arial" w:hAnsi="Arial" w:cs="Arial"/>
        </w:rPr>
        <w:t>Information relating to service users will be stored IAW the Newquay Foodbank Data Protection Policy.</w:t>
      </w:r>
      <w:r w:rsidRPr="00280D89">
        <w:rPr>
          <w:rFonts w:ascii="Arial" w:hAnsi="Arial"/>
        </w:rPr>
        <w:t xml:space="preserve"> </w:t>
      </w:r>
    </w:p>
    <w:p w14:paraId="0BA1CF0A" w14:textId="36E26EF3" w:rsidR="00280D89" w:rsidRPr="00280D89" w:rsidRDefault="00280D89" w:rsidP="004D2FB3">
      <w:pPr>
        <w:pStyle w:val="ListParagraph"/>
        <w:numPr>
          <w:ilvl w:val="0"/>
          <w:numId w:val="13"/>
        </w:numPr>
        <w:autoSpaceDE w:val="0"/>
        <w:autoSpaceDN w:val="0"/>
        <w:adjustRightInd w:val="0"/>
        <w:spacing w:after="240"/>
        <w:ind w:left="357" w:hanging="357"/>
        <w:contextualSpacing w:val="0"/>
        <w:rPr>
          <w:rFonts w:ascii="Arial" w:hAnsi="Arial"/>
          <w:b/>
          <w:bCs/>
          <w:u w:val="single"/>
        </w:rPr>
      </w:pPr>
      <w:r>
        <w:rPr>
          <w:rFonts w:ascii="Arial" w:hAnsi="Arial" w:cs="Arial"/>
          <w:b/>
          <w:bCs/>
        </w:rPr>
        <w:t xml:space="preserve">LEGAL DUTY TO SHARE INFORMATION </w:t>
      </w:r>
    </w:p>
    <w:p w14:paraId="59905E78" w14:textId="47C7DD82" w:rsidR="00280D89" w:rsidRPr="00280D89" w:rsidRDefault="00280D89" w:rsidP="004D2FB3">
      <w:pPr>
        <w:pStyle w:val="ListParagraph"/>
        <w:numPr>
          <w:ilvl w:val="1"/>
          <w:numId w:val="13"/>
        </w:numPr>
        <w:autoSpaceDE w:val="0"/>
        <w:autoSpaceDN w:val="0"/>
        <w:adjustRightInd w:val="0"/>
        <w:spacing w:after="240"/>
        <w:contextualSpacing w:val="0"/>
        <w:rPr>
          <w:rFonts w:ascii="Arial" w:hAnsi="Arial"/>
          <w:u w:val="single"/>
        </w:rPr>
      </w:pPr>
      <w:r w:rsidRPr="00280D89">
        <w:rPr>
          <w:rFonts w:ascii="Arial" w:hAnsi="Arial"/>
        </w:rPr>
        <w:t>There is a legal duty to share some information in the following situations;</w:t>
      </w:r>
    </w:p>
    <w:p w14:paraId="1284F608" w14:textId="55789E96" w:rsidR="00280D89" w:rsidRPr="00280D89" w:rsidRDefault="00280D89" w:rsidP="004D2FB3">
      <w:pPr>
        <w:pStyle w:val="ListParagraph"/>
        <w:numPr>
          <w:ilvl w:val="2"/>
          <w:numId w:val="13"/>
        </w:numPr>
        <w:autoSpaceDE w:val="0"/>
        <w:autoSpaceDN w:val="0"/>
        <w:adjustRightInd w:val="0"/>
        <w:spacing w:after="240"/>
        <w:contextualSpacing w:val="0"/>
        <w:rPr>
          <w:rFonts w:ascii="Arial" w:hAnsi="Arial"/>
          <w:u w:val="single"/>
        </w:rPr>
      </w:pPr>
      <w:r w:rsidRPr="00280D89">
        <w:rPr>
          <w:rFonts w:ascii="Arial" w:hAnsi="Arial"/>
        </w:rPr>
        <w:t>To protect children at significant risk of harm</w:t>
      </w:r>
      <w:r>
        <w:rPr>
          <w:rFonts w:ascii="Arial" w:hAnsi="Arial"/>
        </w:rPr>
        <w:t>.</w:t>
      </w:r>
    </w:p>
    <w:p w14:paraId="31629E20" w14:textId="77777777" w:rsidR="00280D89" w:rsidRPr="00280D89" w:rsidRDefault="00280D89" w:rsidP="004D2FB3">
      <w:pPr>
        <w:pStyle w:val="ListParagraph"/>
        <w:numPr>
          <w:ilvl w:val="2"/>
          <w:numId w:val="13"/>
        </w:numPr>
        <w:autoSpaceDE w:val="0"/>
        <w:autoSpaceDN w:val="0"/>
        <w:adjustRightInd w:val="0"/>
        <w:spacing w:after="240"/>
        <w:contextualSpacing w:val="0"/>
        <w:rPr>
          <w:rFonts w:ascii="Arial" w:hAnsi="Arial"/>
          <w:u w:val="single"/>
        </w:rPr>
      </w:pPr>
      <w:r w:rsidRPr="00280D89">
        <w:rPr>
          <w:rFonts w:ascii="Arial" w:hAnsi="Arial"/>
        </w:rPr>
        <w:t>To prevent or detect a crime</w:t>
      </w:r>
      <w:r>
        <w:rPr>
          <w:rFonts w:ascii="Arial" w:hAnsi="Arial"/>
        </w:rPr>
        <w:t>.</w:t>
      </w:r>
    </w:p>
    <w:p w14:paraId="2C72AAF3" w14:textId="529B0943" w:rsidR="00280D89" w:rsidRPr="00280D89" w:rsidRDefault="00280D89" w:rsidP="004D2FB3">
      <w:pPr>
        <w:pStyle w:val="ListParagraph"/>
        <w:numPr>
          <w:ilvl w:val="2"/>
          <w:numId w:val="13"/>
        </w:numPr>
        <w:autoSpaceDE w:val="0"/>
        <w:autoSpaceDN w:val="0"/>
        <w:adjustRightInd w:val="0"/>
        <w:spacing w:after="240"/>
        <w:contextualSpacing w:val="0"/>
        <w:rPr>
          <w:rFonts w:ascii="Arial" w:hAnsi="Arial"/>
          <w:u w:val="single"/>
        </w:rPr>
      </w:pPr>
      <w:r w:rsidRPr="00280D89">
        <w:rPr>
          <w:rFonts w:ascii="Arial" w:hAnsi="Arial"/>
        </w:rPr>
        <w:t>As a duty of care in a life-threatening situation</w:t>
      </w:r>
      <w:r>
        <w:rPr>
          <w:rFonts w:ascii="Arial" w:hAnsi="Arial"/>
        </w:rPr>
        <w:t>.</w:t>
      </w:r>
    </w:p>
    <w:p w14:paraId="59FCE399" w14:textId="20BF273C" w:rsidR="00280D89" w:rsidRPr="00280D89" w:rsidRDefault="00280D89" w:rsidP="004D2FB3">
      <w:pPr>
        <w:pStyle w:val="ListParagraph"/>
        <w:numPr>
          <w:ilvl w:val="2"/>
          <w:numId w:val="13"/>
        </w:numPr>
        <w:autoSpaceDE w:val="0"/>
        <w:autoSpaceDN w:val="0"/>
        <w:adjustRightInd w:val="0"/>
        <w:spacing w:after="240"/>
        <w:contextualSpacing w:val="0"/>
        <w:rPr>
          <w:rFonts w:ascii="Arial" w:hAnsi="Arial"/>
          <w:u w:val="single"/>
        </w:rPr>
      </w:pPr>
      <w:r w:rsidRPr="00280D89">
        <w:rPr>
          <w:rFonts w:ascii="Arial" w:hAnsi="Arial"/>
        </w:rPr>
        <w:t>If there is a concern for a vulnerable adult (Safeguarding Vulnerable Adults)</w:t>
      </w:r>
      <w:r>
        <w:rPr>
          <w:rFonts w:ascii="Arial" w:hAnsi="Arial"/>
        </w:rPr>
        <w:t>.</w:t>
      </w:r>
    </w:p>
    <w:p w14:paraId="24778FB6" w14:textId="77777777" w:rsidR="00280D89" w:rsidRPr="00280D89" w:rsidRDefault="00280D89" w:rsidP="004D2FB3">
      <w:pPr>
        <w:pStyle w:val="ListParagraph"/>
        <w:numPr>
          <w:ilvl w:val="2"/>
          <w:numId w:val="13"/>
        </w:numPr>
        <w:autoSpaceDE w:val="0"/>
        <w:autoSpaceDN w:val="0"/>
        <w:adjustRightInd w:val="0"/>
        <w:spacing w:after="240"/>
        <w:contextualSpacing w:val="0"/>
        <w:rPr>
          <w:rFonts w:ascii="Arial" w:hAnsi="Arial"/>
          <w:u w:val="single"/>
        </w:rPr>
      </w:pPr>
      <w:r w:rsidRPr="00280D89">
        <w:rPr>
          <w:rFonts w:ascii="Arial" w:hAnsi="Arial"/>
        </w:rPr>
        <w:t>As a duty to the courts</w:t>
      </w:r>
      <w:r>
        <w:rPr>
          <w:rFonts w:ascii="Arial" w:hAnsi="Arial"/>
        </w:rPr>
        <w:t>.</w:t>
      </w:r>
    </w:p>
    <w:p w14:paraId="671E6D4F" w14:textId="77777777" w:rsidR="00280D89" w:rsidRPr="00280D89" w:rsidRDefault="00280D89" w:rsidP="004D2FB3">
      <w:pPr>
        <w:pStyle w:val="ListParagraph"/>
        <w:numPr>
          <w:ilvl w:val="0"/>
          <w:numId w:val="13"/>
        </w:numPr>
        <w:autoSpaceDE w:val="0"/>
        <w:autoSpaceDN w:val="0"/>
        <w:adjustRightInd w:val="0"/>
        <w:spacing w:after="240"/>
        <w:contextualSpacing w:val="0"/>
        <w:rPr>
          <w:rFonts w:ascii="Arial" w:hAnsi="Arial"/>
          <w:b/>
          <w:bCs/>
          <w:u w:val="single"/>
        </w:rPr>
      </w:pPr>
      <w:r w:rsidRPr="00280D89">
        <w:rPr>
          <w:rFonts w:ascii="Arial" w:hAnsi="Arial"/>
          <w:b/>
          <w:bCs/>
        </w:rPr>
        <w:t xml:space="preserve">BREACH OF CONFIDENTIALITY </w:t>
      </w:r>
    </w:p>
    <w:p w14:paraId="4B605A6E" w14:textId="77777777" w:rsidR="00280D89" w:rsidRPr="00280D89" w:rsidRDefault="00280D89" w:rsidP="004D2FB3">
      <w:pPr>
        <w:pStyle w:val="ListParagraph"/>
        <w:numPr>
          <w:ilvl w:val="1"/>
          <w:numId w:val="13"/>
        </w:numPr>
        <w:autoSpaceDE w:val="0"/>
        <w:autoSpaceDN w:val="0"/>
        <w:adjustRightInd w:val="0"/>
        <w:spacing w:after="240"/>
        <w:contextualSpacing w:val="0"/>
        <w:rPr>
          <w:rFonts w:ascii="Arial" w:hAnsi="Arial"/>
          <w:b/>
          <w:bCs/>
          <w:u w:val="single"/>
        </w:rPr>
      </w:pPr>
      <w:r w:rsidRPr="00280D89">
        <w:rPr>
          <w:rFonts w:ascii="Arial" w:hAnsi="Arial"/>
        </w:rPr>
        <w:t xml:space="preserve">A breach of confidentiality by current volunteers will be dealt with through </w:t>
      </w:r>
      <w:r>
        <w:rPr>
          <w:rFonts w:ascii="Arial" w:hAnsi="Arial"/>
        </w:rPr>
        <w:t xml:space="preserve">THE Newquay Foodbank </w:t>
      </w:r>
      <w:r w:rsidRPr="00280D89">
        <w:rPr>
          <w:rFonts w:ascii="Arial" w:hAnsi="Arial"/>
        </w:rPr>
        <w:t>disciplinary procedures</w:t>
      </w:r>
      <w:r>
        <w:rPr>
          <w:rFonts w:ascii="Arial" w:hAnsi="Arial"/>
        </w:rPr>
        <w:t>.</w:t>
      </w:r>
    </w:p>
    <w:p w14:paraId="64C4A54C" w14:textId="77777777" w:rsidR="00280D89" w:rsidRPr="00280D89" w:rsidRDefault="00280D89" w:rsidP="004D2FB3">
      <w:pPr>
        <w:pStyle w:val="ListParagraph"/>
        <w:numPr>
          <w:ilvl w:val="1"/>
          <w:numId w:val="13"/>
        </w:numPr>
        <w:autoSpaceDE w:val="0"/>
        <w:autoSpaceDN w:val="0"/>
        <w:adjustRightInd w:val="0"/>
        <w:spacing w:after="240"/>
        <w:contextualSpacing w:val="0"/>
        <w:rPr>
          <w:rFonts w:ascii="Arial" w:hAnsi="Arial"/>
          <w:b/>
          <w:bCs/>
          <w:u w:val="single"/>
        </w:rPr>
      </w:pPr>
      <w:r w:rsidRPr="00280D89">
        <w:rPr>
          <w:rFonts w:ascii="Arial" w:hAnsi="Arial"/>
        </w:rPr>
        <w:t xml:space="preserve">Any breach of confidentiality by previous volunteers </w:t>
      </w:r>
      <w:r>
        <w:rPr>
          <w:rFonts w:ascii="Arial" w:hAnsi="Arial"/>
        </w:rPr>
        <w:t xml:space="preserve">may lead to </w:t>
      </w:r>
      <w:r w:rsidRPr="00280D89">
        <w:rPr>
          <w:rFonts w:ascii="Arial" w:hAnsi="Arial"/>
        </w:rPr>
        <w:t>legal action</w:t>
      </w:r>
      <w:r>
        <w:rPr>
          <w:rFonts w:ascii="Arial" w:hAnsi="Arial"/>
        </w:rPr>
        <w:t>.</w:t>
      </w:r>
    </w:p>
    <w:p w14:paraId="08A3DB4F" w14:textId="77777777" w:rsidR="00280D89" w:rsidRPr="00280D89" w:rsidRDefault="00280D89" w:rsidP="004D2FB3">
      <w:pPr>
        <w:pStyle w:val="ListParagraph"/>
        <w:numPr>
          <w:ilvl w:val="0"/>
          <w:numId w:val="13"/>
        </w:numPr>
        <w:autoSpaceDE w:val="0"/>
        <w:autoSpaceDN w:val="0"/>
        <w:adjustRightInd w:val="0"/>
        <w:spacing w:after="240"/>
        <w:contextualSpacing w:val="0"/>
        <w:rPr>
          <w:rFonts w:ascii="Arial" w:hAnsi="Arial"/>
          <w:b/>
          <w:bCs/>
          <w:u w:val="single"/>
        </w:rPr>
      </w:pPr>
      <w:r w:rsidRPr="00280D89">
        <w:rPr>
          <w:rFonts w:ascii="Arial" w:hAnsi="Arial"/>
          <w:b/>
          <w:bCs/>
        </w:rPr>
        <w:t xml:space="preserve">WHISTLE BLOWING </w:t>
      </w:r>
    </w:p>
    <w:p w14:paraId="784E1CF5" w14:textId="6E99D54B" w:rsidR="00280D89" w:rsidRPr="00280D89" w:rsidRDefault="00280D89" w:rsidP="004D2FB3">
      <w:pPr>
        <w:pStyle w:val="ListParagraph"/>
        <w:numPr>
          <w:ilvl w:val="1"/>
          <w:numId w:val="13"/>
        </w:numPr>
        <w:autoSpaceDE w:val="0"/>
        <w:autoSpaceDN w:val="0"/>
        <w:adjustRightInd w:val="0"/>
        <w:spacing w:after="240"/>
        <w:contextualSpacing w:val="0"/>
        <w:rPr>
          <w:rFonts w:ascii="Arial" w:hAnsi="Arial"/>
          <w:b/>
          <w:bCs/>
          <w:u w:val="single"/>
        </w:rPr>
      </w:pPr>
      <w:r w:rsidRPr="00280D89">
        <w:rPr>
          <w:rFonts w:ascii="Arial" w:hAnsi="Arial"/>
        </w:rPr>
        <w:t>Any individual who has</w:t>
      </w:r>
      <w:r>
        <w:rPr>
          <w:rFonts w:ascii="Arial" w:hAnsi="Arial"/>
          <w:b/>
          <w:bCs/>
        </w:rPr>
        <w:t xml:space="preserve"> </w:t>
      </w:r>
      <w:r w:rsidRPr="00280D89">
        <w:rPr>
          <w:rFonts w:ascii="Arial" w:hAnsi="Arial"/>
        </w:rPr>
        <w:t xml:space="preserve">concerns relating to the operational delivery of </w:t>
      </w:r>
      <w:r>
        <w:rPr>
          <w:rFonts w:ascii="Arial" w:hAnsi="Arial"/>
        </w:rPr>
        <w:t xml:space="preserve">the </w:t>
      </w:r>
      <w:r w:rsidRPr="00280D89">
        <w:rPr>
          <w:rFonts w:ascii="Arial" w:hAnsi="Arial"/>
        </w:rPr>
        <w:t xml:space="preserve">Newquay Foodbank </w:t>
      </w:r>
      <w:r>
        <w:rPr>
          <w:rFonts w:ascii="Arial" w:hAnsi="Arial"/>
        </w:rPr>
        <w:t xml:space="preserve">or the clients we serve </w:t>
      </w:r>
      <w:r w:rsidRPr="00280D89">
        <w:rPr>
          <w:rFonts w:ascii="Arial" w:hAnsi="Arial"/>
        </w:rPr>
        <w:t xml:space="preserve">should be addressed to the </w:t>
      </w:r>
      <w:r>
        <w:rPr>
          <w:rFonts w:ascii="Arial" w:hAnsi="Arial"/>
        </w:rPr>
        <w:t xml:space="preserve">Foodbank </w:t>
      </w:r>
      <w:r w:rsidRPr="00280D89">
        <w:rPr>
          <w:rFonts w:ascii="Arial" w:hAnsi="Arial"/>
        </w:rPr>
        <w:t>trustees</w:t>
      </w:r>
      <w:r>
        <w:rPr>
          <w:rFonts w:ascii="Arial" w:hAnsi="Arial"/>
        </w:rPr>
        <w:t>.</w:t>
      </w:r>
    </w:p>
    <w:p w14:paraId="25BFF6E5" w14:textId="77777777" w:rsidR="00973162" w:rsidRDefault="00973162" w:rsidP="00973162">
      <w:pPr>
        <w:pStyle w:val="ListParagraph"/>
        <w:numPr>
          <w:ilvl w:val="0"/>
          <w:numId w:val="13"/>
        </w:numPr>
        <w:rPr>
          <w:rFonts w:ascii="Arial" w:hAnsi="Arial" w:cs="Arial"/>
          <w:b/>
        </w:rPr>
      </w:pPr>
      <w:r w:rsidRPr="00456675">
        <w:rPr>
          <w:rFonts w:ascii="Arial" w:hAnsi="Arial" w:cs="Arial"/>
          <w:b/>
        </w:rPr>
        <w:lastRenderedPageBreak/>
        <w:t>REVIEW</w:t>
      </w:r>
    </w:p>
    <w:p w14:paraId="506F782C" w14:textId="77777777" w:rsidR="00973162" w:rsidRDefault="00973162" w:rsidP="00973162">
      <w:pPr>
        <w:pStyle w:val="ListParagraph"/>
        <w:ind w:left="360"/>
        <w:rPr>
          <w:rFonts w:ascii="Arial" w:hAnsi="Arial" w:cs="Arial"/>
          <w:b/>
        </w:rPr>
      </w:pPr>
    </w:p>
    <w:p w14:paraId="5F621DAE" w14:textId="77777777" w:rsidR="00973162" w:rsidRPr="00456675" w:rsidRDefault="00973162" w:rsidP="00973162">
      <w:pPr>
        <w:pStyle w:val="ListParagraph"/>
        <w:numPr>
          <w:ilvl w:val="1"/>
          <w:numId w:val="13"/>
        </w:numPr>
        <w:rPr>
          <w:rFonts w:ascii="Arial" w:hAnsi="Arial" w:cs="Arial"/>
          <w:b/>
        </w:rPr>
      </w:pPr>
      <w:r w:rsidRPr="00456675">
        <w:rPr>
          <w:rFonts w:ascii="Arial" w:hAnsi="Arial" w:cs="Arial"/>
        </w:rPr>
        <w:t xml:space="preserve">This policy and its implementation will be reviewed at least annually </w:t>
      </w:r>
      <w:r>
        <w:rPr>
          <w:rFonts w:ascii="Arial" w:hAnsi="Arial" w:cs="Arial"/>
        </w:rPr>
        <w:t>or where significant financial changes occur.</w:t>
      </w:r>
    </w:p>
    <w:p w14:paraId="5219730D" w14:textId="77777777" w:rsidR="00973162" w:rsidRPr="00456675" w:rsidRDefault="00973162" w:rsidP="00973162">
      <w:pPr>
        <w:pStyle w:val="ListParagraph"/>
        <w:ind w:left="792"/>
        <w:rPr>
          <w:rFonts w:ascii="Arial" w:hAnsi="Arial" w:cs="Arial"/>
          <w:b/>
        </w:rPr>
      </w:pPr>
    </w:p>
    <w:sectPr w:rsidR="00973162" w:rsidRPr="00456675" w:rsidSect="002540BC">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105F" w14:textId="77777777" w:rsidR="00D14559" w:rsidRDefault="00D14559" w:rsidP="00B80C50">
      <w:r>
        <w:separator/>
      </w:r>
    </w:p>
  </w:endnote>
  <w:endnote w:type="continuationSeparator" w:id="0">
    <w:p w14:paraId="6791526D" w14:textId="77777777" w:rsidR="00D14559" w:rsidRDefault="00D14559" w:rsidP="00B8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CE1A" w14:textId="73BE6DC7" w:rsidR="00C820A0" w:rsidRDefault="00C820A0">
    <w:pPr>
      <w:pStyle w:val="Footer"/>
      <w:pBdr>
        <w:top w:val="single" w:sz="4" w:space="1" w:color="D9D9D9" w:themeColor="background1" w:themeShade="D9"/>
      </w:pBdr>
      <w:jc w:val="right"/>
    </w:pPr>
  </w:p>
  <w:p w14:paraId="0924E06F" w14:textId="77777777" w:rsidR="00C820A0" w:rsidRDefault="00C8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325734"/>
      <w:docPartObj>
        <w:docPartGallery w:val="Page Numbers (Bottom of Page)"/>
        <w:docPartUnique/>
      </w:docPartObj>
    </w:sdtPr>
    <w:sdtEndPr>
      <w:rPr>
        <w:color w:val="7F7F7F" w:themeColor="background1" w:themeShade="7F"/>
        <w:spacing w:val="60"/>
      </w:rPr>
    </w:sdtEndPr>
    <w:sdtContent>
      <w:p w14:paraId="14A2A3DA" w14:textId="1B7B1401" w:rsidR="00C820A0" w:rsidRDefault="00367E3C" w:rsidP="00B80C50">
        <w:pPr>
          <w:pStyle w:val="Footer"/>
          <w:pBdr>
            <w:top w:val="single" w:sz="4" w:space="1" w:color="D9D9D9" w:themeColor="background1" w:themeShade="D9"/>
          </w:pBdr>
        </w:pPr>
        <w:r>
          <w:t>CONFIDENTIALITY POLICY</w:t>
        </w:r>
        <w:r w:rsidR="00C820A0">
          <w:tab/>
        </w:r>
        <w:r w:rsidR="00C820A0">
          <w:tab/>
          <w:t xml:space="preserve"> </w:t>
        </w:r>
        <w:r w:rsidR="00C820A0">
          <w:fldChar w:fldCharType="begin"/>
        </w:r>
        <w:r w:rsidR="00C820A0">
          <w:instrText xml:space="preserve"> PAGE   \* MERGEFORMAT </w:instrText>
        </w:r>
        <w:r w:rsidR="00C820A0">
          <w:fldChar w:fldCharType="separate"/>
        </w:r>
        <w:r w:rsidR="00C820A0">
          <w:rPr>
            <w:noProof/>
          </w:rPr>
          <w:t>20</w:t>
        </w:r>
        <w:r w:rsidR="00C820A0">
          <w:rPr>
            <w:noProof/>
          </w:rPr>
          <w:fldChar w:fldCharType="end"/>
        </w:r>
        <w:r w:rsidR="00C820A0">
          <w:t xml:space="preserve"> | </w:t>
        </w:r>
        <w:r w:rsidR="00C820A0">
          <w:rPr>
            <w:color w:val="7F7F7F" w:themeColor="background1" w:themeShade="7F"/>
            <w:spacing w:val="60"/>
          </w:rPr>
          <w:t>Page</w:t>
        </w:r>
      </w:p>
    </w:sdtContent>
  </w:sdt>
  <w:p w14:paraId="3E749FF0" w14:textId="77777777" w:rsidR="00C820A0" w:rsidRDefault="00C820A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7B79" w14:textId="77777777" w:rsidR="00D14559" w:rsidRDefault="00D14559" w:rsidP="00B80C50">
      <w:r>
        <w:separator/>
      </w:r>
    </w:p>
  </w:footnote>
  <w:footnote w:type="continuationSeparator" w:id="0">
    <w:p w14:paraId="62CAE68E" w14:textId="77777777" w:rsidR="00D14559" w:rsidRDefault="00D14559" w:rsidP="00B8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2E2F" w14:textId="277A56EB" w:rsidR="00C820A0" w:rsidRDefault="00C820A0">
    <w:pPr>
      <w:pStyle w:val="Header"/>
    </w:pPr>
    <w:r>
      <w:t>Newquay Foodbank -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 w15:restartNumberingAfterBreak="0">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1332AAB"/>
    <w:multiLevelType w:val="hybridMultilevel"/>
    <w:tmpl w:val="8BE8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134C9A"/>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FD59C9"/>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2A075C"/>
    <w:multiLevelType w:val="hybridMultilevel"/>
    <w:tmpl w:val="0338B7AA"/>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7F7219"/>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3F7B09"/>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AF6ADA"/>
    <w:multiLevelType w:val="hybridMultilevel"/>
    <w:tmpl w:val="DB0CEC92"/>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4391F"/>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8A653A"/>
    <w:multiLevelType w:val="hybridMultilevel"/>
    <w:tmpl w:val="60946454"/>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670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896C02"/>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954D00"/>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63C15E5"/>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3079A0"/>
    <w:multiLevelType w:val="multilevel"/>
    <w:tmpl w:val="C68433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931DD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AB4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1343D1"/>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784813"/>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326102BC"/>
    <w:multiLevelType w:val="hybridMultilevel"/>
    <w:tmpl w:val="3AEE366E"/>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672BF"/>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F9104F"/>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F973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161880"/>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22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C41A1B"/>
    <w:multiLevelType w:val="hybridMultilevel"/>
    <w:tmpl w:val="893A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D3932"/>
    <w:multiLevelType w:val="hybridMultilevel"/>
    <w:tmpl w:val="EF8A0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3A0A54"/>
    <w:multiLevelType w:val="hybridMultilevel"/>
    <w:tmpl w:val="AA84F610"/>
    <w:numStyleLink w:val="Bullet"/>
  </w:abstractNum>
  <w:abstractNum w:abstractNumId="30" w15:restartNumberingAfterBreak="0">
    <w:nsid w:val="63CE29B8"/>
    <w:multiLevelType w:val="multilevel"/>
    <w:tmpl w:val="57A862C8"/>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2D6F3A"/>
    <w:multiLevelType w:val="hybridMultilevel"/>
    <w:tmpl w:val="AA84F610"/>
    <w:styleLink w:val="Bullet"/>
    <w:lvl w:ilvl="0" w:tplc="697C2D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F95A8E8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A262CD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1ECFB4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4283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BF2001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6CF42CB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E92B67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2502C5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2" w15:restartNumberingAfterBreak="0">
    <w:nsid w:val="6ECF38F1"/>
    <w:multiLevelType w:val="hybridMultilevel"/>
    <w:tmpl w:val="AE5ED564"/>
    <w:lvl w:ilvl="0" w:tplc="FDCC0FA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7513F"/>
    <w:multiLevelType w:val="multilevel"/>
    <w:tmpl w:val="D364451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6B566C"/>
    <w:multiLevelType w:val="hybridMultilevel"/>
    <w:tmpl w:val="58F8BC3C"/>
    <w:lvl w:ilvl="0" w:tplc="C2C44B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993AFF"/>
    <w:multiLevelType w:val="hybridMultilevel"/>
    <w:tmpl w:val="10003770"/>
    <w:lvl w:ilvl="0" w:tplc="55D8B93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A807DF"/>
    <w:multiLevelType w:val="hybridMultilevel"/>
    <w:tmpl w:val="6BA88D60"/>
    <w:lvl w:ilvl="0" w:tplc="282C66C8">
      <w:start w:val="1"/>
      <w:numFmt w:val="bullet"/>
      <w:lvlText w:val="-"/>
      <w:lvlJc w:val="left"/>
      <w:pPr>
        <w:ind w:left="720" w:hanging="360"/>
      </w:pPr>
      <w:rPr>
        <w:rFonts w:ascii="TrebuchetMS" w:eastAsiaTheme="minorHAnsi" w:hAnsi="Trebuchet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7"/>
  </w:num>
  <w:num w:numId="4">
    <w:abstractNumId w:val="5"/>
  </w:num>
  <w:num w:numId="5">
    <w:abstractNumId w:val="9"/>
  </w:num>
  <w:num w:numId="6">
    <w:abstractNumId w:val="6"/>
  </w:num>
  <w:num w:numId="7">
    <w:abstractNumId w:val="21"/>
  </w:num>
  <w:num w:numId="8">
    <w:abstractNumId w:val="34"/>
  </w:num>
  <w:num w:numId="9">
    <w:abstractNumId w:val="11"/>
  </w:num>
  <w:num w:numId="10">
    <w:abstractNumId w:val="12"/>
  </w:num>
  <w:num w:numId="11">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num>
  <w:num w:numId="13">
    <w:abstractNumId w:val="14"/>
  </w:num>
  <w:num w:numId="14">
    <w:abstractNumId w:val="15"/>
  </w:num>
  <w:num w:numId="15">
    <w:abstractNumId w:val="36"/>
  </w:num>
  <w:num w:numId="16">
    <w:abstractNumId w:val="3"/>
  </w:num>
  <w:num w:numId="17">
    <w:abstractNumId w:val="28"/>
  </w:num>
  <w:num w:numId="18">
    <w:abstractNumId w:val="25"/>
  </w:num>
  <w:num w:numId="19">
    <w:abstractNumId w:val="17"/>
  </w:num>
  <w:num w:numId="20">
    <w:abstractNumId w:val="19"/>
  </w:num>
  <w:num w:numId="21">
    <w:abstractNumId w:val="35"/>
  </w:num>
  <w:num w:numId="22">
    <w:abstractNumId w:val="24"/>
  </w:num>
  <w:num w:numId="23">
    <w:abstractNumId w:val="26"/>
  </w:num>
  <w:num w:numId="24">
    <w:abstractNumId w:val="13"/>
  </w:num>
  <w:num w:numId="25">
    <w:abstractNumId w:val="18"/>
  </w:num>
  <w:num w:numId="26">
    <w:abstractNumId w:val="33"/>
  </w:num>
  <w:num w:numId="27">
    <w:abstractNumId w:val="0"/>
  </w:num>
  <w:num w:numId="28">
    <w:abstractNumId w:val="1"/>
  </w:num>
  <w:num w:numId="29">
    <w:abstractNumId w:val="2"/>
  </w:num>
  <w:num w:numId="30">
    <w:abstractNumId w:val="22"/>
  </w:num>
  <w:num w:numId="31">
    <w:abstractNumId w:val="32"/>
  </w:num>
  <w:num w:numId="32">
    <w:abstractNumId w:val="4"/>
  </w:num>
  <w:num w:numId="33">
    <w:abstractNumId w:val="8"/>
  </w:num>
  <w:num w:numId="34">
    <w:abstractNumId w:val="30"/>
  </w:num>
  <w:num w:numId="35">
    <w:abstractNumId w:val="10"/>
  </w:num>
  <w:num w:numId="36">
    <w:abstractNumId w:val="23"/>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02"/>
    <w:rsid w:val="00065F33"/>
    <w:rsid w:val="00074118"/>
    <w:rsid w:val="00082425"/>
    <w:rsid w:val="00087F80"/>
    <w:rsid w:val="000B2403"/>
    <w:rsid w:val="000E5F12"/>
    <w:rsid w:val="000E6672"/>
    <w:rsid w:val="000F10E3"/>
    <w:rsid w:val="00100518"/>
    <w:rsid w:val="001274F2"/>
    <w:rsid w:val="00144DB1"/>
    <w:rsid w:val="0015019E"/>
    <w:rsid w:val="00156217"/>
    <w:rsid w:val="00193D0E"/>
    <w:rsid w:val="001A07CE"/>
    <w:rsid w:val="001B0160"/>
    <w:rsid w:val="001C0CC3"/>
    <w:rsid w:val="001D1CC0"/>
    <w:rsid w:val="00203D7D"/>
    <w:rsid w:val="0021507F"/>
    <w:rsid w:val="002540BC"/>
    <w:rsid w:val="002637EA"/>
    <w:rsid w:val="00280D89"/>
    <w:rsid w:val="00281F3A"/>
    <w:rsid w:val="002B4AE9"/>
    <w:rsid w:val="002B5B27"/>
    <w:rsid w:val="002C0758"/>
    <w:rsid w:val="002D75FE"/>
    <w:rsid w:val="00305D5F"/>
    <w:rsid w:val="00312D1A"/>
    <w:rsid w:val="00327254"/>
    <w:rsid w:val="00336A42"/>
    <w:rsid w:val="0033767C"/>
    <w:rsid w:val="00357E8C"/>
    <w:rsid w:val="00367E3C"/>
    <w:rsid w:val="00370B77"/>
    <w:rsid w:val="00374E47"/>
    <w:rsid w:val="003A01DD"/>
    <w:rsid w:val="003A4192"/>
    <w:rsid w:val="003D263A"/>
    <w:rsid w:val="003D57BF"/>
    <w:rsid w:val="00434C12"/>
    <w:rsid w:val="00456675"/>
    <w:rsid w:val="004918BE"/>
    <w:rsid w:val="004A0890"/>
    <w:rsid w:val="004A6ED8"/>
    <w:rsid w:val="004D2FB3"/>
    <w:rsid w:val="004D3822"/>
    <w:rsid w:val="00526228"/>
    <w:rsid w:val="0053763B"/>
    <w:rsid w:val="005739E3"/>
    <w:rsid w:val="005A120F"/>
    <w:rsid w:val="005B33AB"/>
    <w:rsid w:val="005D2EE3"/>
    <w:rsid w:val="005E11FA"/>
    <w:rsid w:val="005F7019"/>
    <w:rsid w:val="0060769F"/>
    <w:rsid w:val="0061133B"/>
    <w:rsid w:val="006173B5"/>
    <w:rsid w:val="00621E5B"/>
    <w:rsid w:val="00625FCD"/>
    <w:rsid w:val="006352A6"/>
    <w:rsid w:val="006409D0"/>
    <w:rsid w:val="00692471"/>
    <w:rsid w:val="006B36C0"/>
    <w:rsid w:val="006B5CE1"/>
    <w:rsid w:val="006E3F12"/>
    <w:rsid w:val="006F3F40"/>
    <w:rsid w:val="00712B5B"/>
    <w:rsid w:val="007509ED"/>
    <w:rsid w:val="00771589"/>
    <w:rsid w:val="00771C26"/>
    <w:rsid w:val="0080117E"/>
    <w:rsid w:val="00815A08"/>
    <w:rsid w:val="0082057E"/>
    <w:rsid w:val="0084405C"/>
    <w:rsid w:val="008635A0"/>
    <w:rsid w:val="008710C1"/>
    <w:rsid w:val="00875887"/>
    <w:rsid w:val="00877FA0"/>
    <w:rsid w:val="0088399F"/>
    <w:rsid w:val="00884578"/>
    <w:rsid w:val="008A50E3"/>
    <w:rsid w:val="008B5F9C"/>
    <w:rsid w:val="008C05A3"/>
    <w:rsid w:val="008C42FC"/>
    <w:rsid w:val="008E26F2"/>
    <w:rsid w:val="008F0F6E"/>
    <w:rsid w:val="008F6A3B"/>
    <w:rsid w:val="0091227B"/>
    <w:rsid w:val="00925164"/>
    <w:rsid w:val="00973162"/>
    <w:rsid w:val="00976473"/>
    <w:rsid w:val="009B502E"/>
    <w:rsid w:val="009E2F2F"/>
    <w:rsid w:val="009E636D"/>
    <w:rsid w:val="009E6483"/>
    <w:rsid w:val="00A20A09"/>
    <w:rsid w:val="00A216D6"/>
    <w:rsid w:val="00A25D4F"/>
    <w:rsid w:val="00A31807"/>
    <w:rsid w:val="00A436F2"/>
    <w:rsid w:val="00A91628"/>
    <w:rsid w:val="00A950E0"/>
    <w:rsid w:val="00A95ED6"/>
    <w:rsid w:val="00AD3509"/>
    <w:rsid w:val="00B11951"/>
    <w:rsid w:val="00B22EC6"/>
    <w:rsid w:val="00B472E9"/>
    <w:rsid w:val="00B50903"/>
    <w:rsid w:val="00B54C17"/>
    <w:rsid w:val="00B56253"/>
    <w:rsid w:val="00B80C50"/>
    <w:rsid w:val="00B94707"/>
    <w:rsid w:val="00BA317C"/>
    <w:rsid w:val="00BB0375"/>
    <w:rsid w:val="00BE7B98"/>
    <w:rsid w:val="00BF520E"/>
    <w:rsid w:val="00C2521D"/>
    <w:rsid w:val="00C67F58"/>
    <w:rsid w:val="00C774DF"/>
    <w:rsid w:val="00C820A0"/>
    <w:rsid w:val="00C83FED"/>
    <w:rsid w:val="00C87B02"/>
    <w:rsid w:val="00C905FA"/>
    <w:rsid w:val="00CA78B0"/>
    <w:rsid w:val="00CD677F"/>
    <w:rsid w:val="00CD7E7D"/>
    <w:rsid w:val="00D0176D"/>
    <w:rsid w:val="00D057D4"/>
    <w:rsid w:val="00D06F5B"/>
    <w:rsid w:val="00D14559"/>
    <w:rsid w:val="00D31B03"/>
    <w:rsid w:val="00D56664"/>
    <w:rsid w:val="00D83347"/>
    <w:rsid w:val="00D9406E"/>
    <w:rsid w:val="00DA622A"/>
    <w:rsid w:val="00DD1A1C"/>
    <w:rsid w:val="00DF60E1"/>
    <w:rsid w:val="00E21BC2"/>
    <w:rsid w:val="00E22046"/>
    <w:rsid w:val="00E30BAD"/>
    <w:rsid w:val="00E56ACA"/>
    <w:rsid w:val="00E77758"/>
    <w:rsid w:val="00EA4448"/>
    <w:rsid w:val="00ED2D25"/>
    <w:rsid w:val="00F37A0B"/>
    <w:rsid w:val="00F8009F"/>
    <w:rsid w:val="00F87DD3"/>
    <w:rsid w:val="00F9408E"/>
    <w:rsid w:val="00F964FF"/>
    <w:rsid w:val="00F96FEE"/>
    <w:rsid w:val="00FD153C"/>
    <w:rsid w:val="00FD1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99D22"/>
  <w15:chartTrackingRefBased/>
  <w15:docId w15:val="{DD71C314-3824-4CC4-9BE4-8BF640F1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CA"/>
  </w:style>
  <w:style w:type="paragraph" w:styleId="Heading1">
    <w:name w:val="heading 1"/>
    <w:basedOn w:val="Normal"/>
    <w:next w:val="Normal"/>
    <w:link w:val="Heading1Char"/>
    <w:uiPriority w:val="9"/>
    <w:qFormat/>
    <w:rsid w:val="009E2F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07"/>
    <w:pPr>
      <w:ind w:left="720"/>
      <w:contextualSpacing/>
    </w:pPr>
  </w:style>
  <w:style w:type="paragraph" w:customStyle="1" w:styleId="Default">
    <w:name w:val="Default"/>
    <w:rsid w:val="0082057E"/>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0C50"/>
    <w:pPr>
      <w:tabs>
        <w:tab w:val="center" w:pos="4513"/>
        <w:tab w:val="right" w:pos="9026"/>
      </w:tabs>
    </w:pPr>
  </w:style>
  <w:style w:type="character" w:customStyle="1" w:styleId="HeaderChar">
    <w:name w:val="Header Char"/>
    <w:basedOn w:val="DefaultParagraphFont"/>
    <w:link w:val="Header"/>
    <w:uiPriority w:val="99"/>
    <w:rsid w:val="00B80C50"/>
  </w:style>
  <w:style w:type="paragraph" w:styleId="Footer">
    <w:name w:val="footer"/>
    <w:basedOn w:val="Normal"/>
    <w:link w:val="FooterChar"/>
    <w:uiPriority w:val="99"/>
    <w:unhideWhenUsed/>
    <w:rsid w:val="00B80C50"/>
    <w:pPr>
      <w:tabs>
        <w:tab w:val="center" w:pos="4513"/>
        <w:tab w:val="right" w:pos="9026"/>
      </w:tabs>
    </w:pPr>
  </w:style>
  <w:style w:type="character" w:customStyle="1" w:styleId="FooterChar">
    <w:name w:val="Footer Char"/>
    <w:basedOn w:val="DefaultParagraphFont"/>
    <w:link w:val="Footer"/>
    <w:uiPriority w:val="99"/>
    <w:rsid w:val="00B80C50"/>
  </w:style>
  <w:style w:type="paragraph" w:styleId="Revision">
    <w:name w:val="Revision"/>
    <w:hidden/>
    <w:uiPriority w:val="99"/>
    <w:semiHidden/>
    <w:rsid w:val="009E2F2F"/>
  </w:style>
  <w:style w:type="character" w:customStyle="1" w:styleId="Heading1Char">
    <w:name w:val="Heading 1 Char"/>
    <w:basedOn w:val="DefaultParagraphFont"/>
    <w:link w:val="Heading1"/>
    <w:uiPriority w:val="9"/>
    <w:rsid w:val="009E2F2F"/>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E2F2F"/>
    <w:pPr>
      <w:spacing w:after="100"/>
    </w:pPr>
  </w:style>
  <w:style w:type="character" w:styleId="Hyperlink">
    <w:name w:val="Hyperlink"/>
    <w:basedOn w:val="DefaultParagraphFont"/>
    <w:uiPriority w:val="99"/>
    <w:unhideWhenUsed/>
    <w:rsid w:val="009E2F2F"/>
    <w:rPr>
      <w:color w:val="0563C1" w:themeColor="hyperlink"/>
      <w:u w:val="single"/>
    </w:rPr>
  </w:style>
  <w:style w:type="paragraph" w:styleId="BalloonText">
    <w:name w:val="Balloon Text"/>
    <w:basedOn w:val="Normal"/>
    <w:link w:val="BalloonTextChar"/>
    <w:uiPriority w:val="99"/>
    <w:semiHidden/>
    <w:unhideWhenUsed/>
    <w:rsid w:val="00A20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09"/>
    <w:rPr>
      <w:rFonts w:ascii="Segoe UI" w:hAnsi="Segoe UI" w:cs="Segoe UI"/>
      <w:sz w:val="18"/>
      <w:szCs w:val="18"/>
    </w:rPr>
  </w:style>
  <w:style w:type="paragraph" w:styleId="NormalWeb">
    <w:name w:val="Normal (Web)"/>
    <w:basedOn w:val="Normal"/>
    <w:uiPriority w:val="99"/>
    <w:semiHidden/>
    <w:unhideWhenUsed/>
    <w:rsid w:val="002540B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40BC"/>
    <w:rPr>
      <w:b/>
      <w:bCs/>
    </w:rPr>
  </w:style>
  <w:style w:type="paragraph" w:customStyle="1" w:styleId="Body">
    <w:name w:val="Body"/>
    <w:rsid w:val="00C820A0"/>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Bullet">
    <w:name w:val="Bullet"/>
    <w:rsid w:val="00C820A0"/>
    <w:pPr>
      <w:numPr>
        <w:numId w:val="37"/>
      </w:numPr>
    </w:pPr>
  </w:style>
  <w:style w:type="table" w:customStyle="1" w:styleId="TableGrid">
    <w:name w:val="TableGrid"/>
    <w:rsid w:val="005E11FA"/>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c60b8660-9ae0-4a54-bc4a-1dc866f3c074">U7Q7SW3JZUR6-1342499405-82</_dlc_DocId>
    <_dlc_DocIdUrl xmlns="c60b8660-9ae0-4a54-bc4a-1dc866f3c074">
      <Url>https://newquayfoodbank.sharepoint.com/HR/_layouts/15/DocIdRedir.aspx?ID=U7Q7SW3JZUR6-1342499405-82</Url>
      <Description>U7Q7SW3JZUR6-1342499405-82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A545EC4BC2A64F8536A2A3219CA741" ma:contentTypeVersion="11" ma:contentTypeDescription="Create a new document." ma:contentTypeScope="" ma:versionID="2ce3d5b20bb8931bbb5982c52664a5d3">
  <xsd:schema xmlns:xsd="http://www.w3.org/2001/XMLSchema" xmlns:xs="http://www.w3.org/2001/XMLSchema" xmlns:p="http://schemas.microsoft.com/office/2006/metadata/properties" xmlns:ns2="c60b8660-9ae0-4a54-bc4a-1dc866f3c074" xmlns:ns3="225330e2-f537-4453-bc5e-68105f62a8d6" xmlns:ns4="bfa807bf-2701-495d-8614-90111a3593c0" targetNamespace="http://schemas.microsoft.com/office/2006/metadata/properties" ma:root="true" ma:fieldsID="4be4a261d56111af9060d46e7288b603" ns2:_="" ns3:_="" ns4:_="">
    <xsd:import namespace="c60b8660-9ae0-4a54-bc4a-1dc866f3c074"/>
    <xsd:import namespace="225330e2-f537-4453-bc5e-68105f62a8d6"/>
    <xsd:import namespace="bfa807bf-2701-495d-8614-90111a3593c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b8660-9ae0-4a54-bc4a-1dc866f3c0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5330e2-f537-4453-bc5e-68105f62a8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807bf-2701-495d-8614-90111a3593c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4D384-4844-4006-B885-BF3BE66B5920}">
  <ds:schemaRefs>
    <ds:schemaRef ds:uri="http://schemas.openxmlformats.org/officeDocument/2006/bibliography"/>
  </ds:schemaRefs>
</ds:datastoreItem>
</file>

<file path=customXml/itemProps2.xml><?xml version="1.0" encoding="utf-8"?>
<ds:datastoreItem xmlns:ds="http://schemas.openxmlformats.org/officeDocument/2006/customXml" ds:itemID="{251794DD-1BFC-4900-8CEF-987560D09BBF}">
  <ds:schemaRefs>
    <ds:schemaRef ds:uri="http://schemas.microsoft.com/office/2006/metadata/properties"/>
    <ds:schemaRef ds:uri="http://schemas.microsoft.com/office/infopath/2007/PartnerControls"/>
    <ds:schemaRef ds:uri="c60b8660-9ae0-4a54-bc4a-1dc866f3c074"/>
  </ds:schemaRefs>
</ds:datastoreItem>
</file>

<file path=customXml/itemProps3.xml><?xml version="1.0" encoding="utf-8"?>
<ds:datastoreItem xmlns:ds="http://schemas.openxmlformats.org/officeDocument/2006/customXml" ds:itemID="{FD7FB074-CF0F-4957-A90D-94A0B51DC35B}">
  <ds:schemaRefs>
    <ds:schemaRef ds:uri="http://schemas.microsoft.com/sharepoint/v3/contenttype/forms"/>
  </ds:schemaRefs>
</ds:datastoreItem>
</file>

<file path=customXml/itemProps4.xml><?xml version="1.0" encoding="utf-8"?>
<ds:datastoreItem xmlns:ds="http://schemas.openxmlformats.org/officeDocument/2006/customXml" ds:itemID="{0063592C-DD62-4C84-923E-5616CC5F7E44}">
  <ds:schemaRefs>
    <ds:schemaRef ds:uri="http://schemas.microsoft.com/sharepoint/events"/>
  </ds:schemaRefs>
</ds:datastoreItem>
</file>

<file path=customXml/itemProps5.xml><?xml version="1.0" encoding="utf-8"?>
<ds:datastoreItem xmlns:ds="http://schemas.openxmlformats.org/officeDocument/2006/customXml" ds:itemID="{C9267F6C-77C6-4EDC-AF97-82E31EBE4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b8660-9ae0-4a54-bc4a-1dc866f3c074"/>
    <ds:schemaRef ds:uri="225330e2-f537-4453-bc5e-68105f62a8d6"/>
    <ds:schemaRef ds:uri="bfa807bf-2701-495d-8614-90111a359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Steph Carlyon</cp:lastModifiedBy>
  <cp:revision>4</cp:revision>
  <cp:lastPrinted>2019-10-24T21:06:00Z</cp:lastPrinted>
  <dcterms:created xsi:type="dcterms:W3CDTF">2021-01-21T13:53:00Z</dcterms:created>
  <dcterms:modified xsi:type="dcterms:W3CDTF">2022-01-21T11:10:00Z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0x010100A8A545EC4BC2A64F8536A2A3219CA741</vt:lpwstr>
  </property>
  <property fmtid="{D5CDD505-2E9C-101B-9397-08002B2CF9AE}" pid="3" name="_dlc_DocIdItemGuid">
    <vt:lpwstr>9c4306e6-f321-42c8-9900-1f18a7144bc6</vt:lpwstr>
  </property>
</Properties>
</file>